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42947FB7"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7F2A10">
        <w:rPr>
          <w:rFonts w:ascii="Roboto" w:hAnsi="Roboto"/>
        </w:rPr>
        <w:t>18/02/2026</w:t>
      </w:r>
    </w:p>
    <w:p w14:paraId="007B9991" w14:textId="77777777" w:rsidR="0083778A" w:rsidRPr="00BC122D"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HUB MEI de </w:t>
      </w:r>
      <w:proofErr w:type="spellStart"/>
      <w:r>
        <w:rPr>
          <w:rFonts w:ascii="Roboto" w:hAnsi="Roboto"/>
          <w:b/>
          <w:sz w:val="28"/>
        </w:rPr>
        <w:t>LiSEC</w:t>
      </w:r>
      <w:proofErr w:type="spellEnd"/>
      <w:r>
        <w:rPr>
          <w:rFonts w:ascii="Roboto" w:hAnsi="Roboto"/>
          <w:b/>
          <w:sz w:val="28"/>
        </w:rPr>
        <w:t xml:space="preserve"> – desde Estambul hasta Nueva Deli: El HUB MEI como polo de crecimiento e innovación </w:t>
      </w:r>
    </w:p>
    <w:p w14:paraId="423CEADB" w14:textId="05C8C895" w:rsidR="00E002E8" w:rsidRPr="00E002E8" w:rsidRDefault="00F446BA" w:rsidP="00DC691D">
      <w:pPr>
        <w:spacing w:line="360" w:lineRule="auto"/>
        <w:rPr>
          <w:rFonts w:ascii="Roboto" w:hAnsi="Roboto"/>
        </w:rPr>
      </w:pPr>
      <w:r>
        <w:rPr>
          <w:rFonts w:ascii="Roboto" w:hAnsi="Roboto"/>
        </w:rPr>
        <w:br/>
        <w:t xml:space="preserve">Los HUB desempeñan un papel central en la red internacional de </w:t>
      </w:r>
      <w:proofErr w:type="spellStart"/>
      <w:r>
        <w:rPr>
          <w:rFonts w:ascii="Roboto" w:hAnsi="Roboto"/>
        </w:rPr>
        <w:t>LiSEC</w:t>
      </w:r>
      <w:proofErr w:type="spellEnd"/>
      <w:r>
        <w:rPr>
          <w:rFonts w:ascii="Roboto" w:hAnsi="Roboto"/>
        </w:rPr>
        <w:t xml:space="preserve">. Hoy en primer plano: el HUB MEI. Con la creación del HUB MEI (Medio Oriente e India), </w:t>
      </w:r>
      <w:proofErr w:type="spellStart"/>
      <w:r>
        <w:rPr>
          <w:rFonts w:ascii="Roboto" w:hAnsi="Roboto"/>
        </w:rPr>
        <w:t>LiSEC</w:t>
      </w:r>
      <w:proofErr w:type="spellEnd"/>
      <w:r>
        <w:rPr>
          <w:rFonts w:ascii="Roboto" w:hAnsi="Roboto"/>
        </w:rPr>
        <w:t xml:space="preserve"> ha dado un importante paso estratégico hacia el establecimiento de una presencia sostenible en una de las regiones más pobladas y económicamente dinámicas del mundo. Desde enero de 2024, el HUB está dirigido por Johann Stöger, que lleva 24 años en la empresa y cuenta con una amplia experiencia en diversas áreas. Desde abril de 2025, cuenta con el apoyo de Ignatius Dias, que actúa como director general de </w:t>
      </w:r>
      <w:proofErr w:type="spellStart"/>
      <w:r>
        <w:rPr>
          <w:rFonts w:ascii="Roboto" w:hAnsi="Roboto"/>
        </w:rPr>
        <w:t>LiSEC</w:t>
      </w:r>
      <w:proofErr w:type="spellEnd"/>
      <w:r>
        <w:rPr>
          <w:rFonts w:ascii="Roboto" w:hAnsi="Roboto"/>
        </w:rPr>
        <w:t xml:space="preserve"> en Medio Oriente.</w:t>
      </w:r>
    </w:p>
    <w:p w14:paraId="706E0C5C" w14:textId="77777777" w:rsidR="00E002E8" w:rsidRPr="00BC122D"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Responsabilidad regional de alcance mundial</w:t>
      </w:r>
    </w:p>
    <w:p w14:paraId="51776190" w14:textId="270C8C4E" w:rsidR="00E002E8" w:rsidRPr="00E002E8" w:rsidRDefault="00E002E8" w:rsidP="00E002E8">
      <w:pPr>
        <w:spacing w:line="360" w:lineRule="auto"/>
        <w:jc w:val="both"/>
        <w:rPr>
          <w:rFonts w:ascii="Roboto" w:hAnsi="Roboto"/>
        </w:rPr>
      </w:pPr>
      <w:r>
        <w:rPr>
          <w:rFonts w:ascii="Roboto" w:hAnsi="Roboto"/>
        </w:rPr>
        <w:t xml:space="preserve">El HUB MEI presta servicio a un total de 23 países, incluidos mercados de gran importancia económica como India, Emiratos Árabes Unidos, Arabia Saudí, Egipto y Turquía. Con cerca de una cuarta parte de la población mundial viviendo en esta región, el HUB es un componente central de la estrategia global de </w:t>
      </w:r>
      <w:proofErr w:type="spellStart"/>
      <w:r>
        <w:rPr>
          <w:rFonts w:ascii="Roboto" w:hAnsi="Roboto"/>
        </w:rPr>
        <w:t>LiSEC</w:t>
      </w:r>
      <w:proofErr w:type="spellEnd"/>
      <w:r>
        <w:rPr>
          <w:rFonts w:ascii="Roboto" w:hAnsi="Roboto"/>
        </w:rPr>
        <w:t xml:space="preserve">. Las dos sucursales, </w:t>
      </w:r>
      <w:proofErr w:type="spellStart"/>
      <w:r>
        <w:rPr>
          <w:rFonts w:ascii="Roboto" w:hAnsi="Roboto"/>
        </w:rPr>
        <w:t>LiSEC</w:t>
      </w:r>
      <w:proofErr w:type="spellEnd"/>
      <w:r>
        <w:rPr>
          <w:rFonts w:ascii="Roboto" w:hAnsi="Roboto"/>
        </w:rPr>
        <w:t xml:space="preserve"> Turquía (LTR), con cuatro empleados, y </w:t>
      </w:r>
      <w:proofErr w:type="spellStart"/>
      <w:r>
        <w:rPr>
          <w:rFonts w:ascii="Roboto" w:hAnsi="Roboto"/>
        </w:rPr>
        <w:t>LiSEC</w:t>
      </w:r>
      <w:proofErr w:type="spellEnd"/>
      <w:r>
        <w:rPr>
          <w:rFonts w:ascii="Roboto" w:hAnsi="Roboto"/>
        </w:rPr>
        <w:t xml:space="preserve"> Medio Oriente (LAE), con diez, colaboran estrechamente para aprovechar las sinergias y atender así de forma óptima las necesidades del mercado.</w:t>
      </w:r>
    </w:p>
    <w:p w14:paraId="639AE3AB" w14:textId="77777777" w:rsidR="00E002E8" w:rsidRPr="00BC122D"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Colaboración y estructura eficientes</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cooperación entre las dos sedes está claramente estructurada: Mientras que Turquía se encarga principalmente de tareas operativas como el despacho de aduanas y la distribución de piezas de recambio, la tramitación centralizada de las piezas de recambio es ahora responsabilidad de LAE. La dirección de ambas sucursales se coordina estrechamente para tener en cuenta las particularidades regionales y garantizar la eficacia de los procesos. La </w:t>
      </w:r>
      <w:r>
        <w:rPr>
          <w:rFonts w:ascii="Roboto" w:hAnsi="Roboto"/>
        </w:rPr>
        <w:lastRenderedPageBreak/>
        <w:t>reciente incorporación de Aykut Erdem al equipo de ventas subraya el interés de la empresa por la proximidad al cliente y la expansión del mercado.</w:t>
      </w:r>
    </w:p>
    <w:p w14:paraId="1B9C64CA" w14:textId="77777777" w:rsidR="00E002E8" w:rsidRPr="00BC122D"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Visión 2030, estructura de clientes y potencial de mercado</w:t>
      </w:r>
    </w:p>
    <w:p w14:paraId="5BAF314D" w14:textId="20A415A4" w:rsidR="00E002E8" w:rsidRDefault="00E002E8" w:rsidP="00E002E8">
      <w:pPr>
        <w:spacing w:line="360" w:lineRule="auto"/>
        <w:jc w:val="both"/>
        <w:rPr>
          <w:rFonts w:ascii="Roboto" w:hAnsi="Roboto"/>
        </w:rPr>
      </w:pPr>
      <w:r>
        <w:rPr>
          <w:rFonts w:ascii="Roboto" w:hAnsi="Roboto"/>
        </w:rPr>
        <w:t>El HUB MEI persigue una ambiciosa estrategia de crecimiento hasta 2030 ampliando su equipo de ventas y servicios, y aumentando la penetración en el mercado mediante la personalización de productos específicos.</w:t>
      </w:r>
    </w:p>
    <w:p w14:paraId="2506A57A" w14:textId="57301C68" w:rsidR="00E002E8" w:rsidRPr="00E002E8" w:rsidRDefault="00E002E8" w:rsidP="00E002E8">
      <w:pPr>
        <w:spacing w:line="360" w:lineRule="auto"/>
        <w:jc w:val="both"/>
        <w:rPr>
          <w:rFonts w:ascii="Roboto" w:hAnsi="Roboto"/>
        </w:rPr>
      </w:pPr>
      <w:r>
        <w:rPr>
          <w:rFonts w:ascii="Roboto" w:hAnsi="Roboto"/>
        </w:rPr>
        <w:t xml:space="preserve">La cartera de clientes del HUB también está muy diversificada: desde pequeñas empresas hasta grandes compañías. Las soluciones de gama alta, como las que ofrece </w:t>
      </w:r>
      <w:proofErr w:type="spellStart"/>
      <w:r>
        <w:rPr>
          <w:rFonts w:ascii="Roboto" w:hAnsi="Roboto"/>
        </w:rPr>
        <w:t>LiSEC</w:t>
      </w:r>
      <w:proofErr w:type="spellEnd"/>
      <w:r>
        <w:rPr>
          <w:rFonts w:ascii="Roboto" w:hAnsi="Roboto"/>
        </w:rPr>
        <w:t xml:space="preserve">, son especialmente demandadas. En los mercados emergentes, el potencial de este tipo de soluciones es aún limitado, pero va en aumento. Con </w:t>
      </w:r>
      <w:proofErr w:type="spellStart"/>
      <w:r>
        <w:rPr>
          <w:rFonts w:ascii="Roboto" w:hAnsi="Roboto"/>
        </w:rPr>
        <w:t>LiTROS</w:t>
      </w:r>
      <w:proofErr w:type="spellEnd"/>
      <w:r>
        <w:rPr>
          <w:rFonts w:ascii="Roboto" w:hAnsi="Roboto"/>
        </w:rPr>
        <w:t xml:space="preserve">, </w:t>
      </w:r>
      <w:proofErr w:type="spellStart"/>
      <w:r>
        <w:rPr>
          <w:rFonts w:ascii="Roboto" w:hAnsi="Roboto"/>
        </w:rPr>
        <w:t>LiSEC</w:t>
      </w:r>
      <w:proofErr w:type="spellEnd"/>
      <w:r>
        <w:rPr>
          <w:rFonts w:ascii="Roboto" w:hAnsi="Roboto"/>
        </w:rPr>
        <w:t xml:space="preserve"> ofrece ahora también una atractiva solución básica para estos mercados. Para obtener más información, consulte: https://www.litros.com/</w:t>
      </w:r>
      <w:r w:rsidR="005317BD">
        <w:rPr>
          <w:rFonts w:ascii="Roboto" w:hAnsi="Roboto"/>
        </w:rPr>
        <w:t>en</w:t>
      </w:r>
    </w:p>
    <w:p w14:paraId="1B43B992" w14:textId="77777777" w:rsidR="00E002E8" w:rsidRPr="00BC122D"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Tendencias y tecnologías</w:t>
      </w:r>
    </w:p>
    <w:p w14:paraId="25608CA5" w14:textId="651BAF52" w:rsidR="00E002E8" w:rsidRPr="00E002E8" w:rsidRDefault="00E002E8" w:rsidP="00E002E8">
      <w:pPr>
        <w:spacing w:line="360" w:lineRule="auto"/>
        <w:jc w:val="both"/>
        <w:rPr>
          <w:rFonts w:ascii="Roboto" w:hAnsi="Roboto"/>
        </w:rPr>
      </w:pPr>
      <w:r>
        <w:rPr>
          <w:rFonts w:ascii="Roboto" w:hAnsi="Roboto"/>
        </w:rPr>
        <w:t xml:space="preserve">La región vive actualmente un auténtico boom de la construcción, sobre todo en Dubái, Yeda y Riad, donde se están realizando algunos de los proyectos de construcción más modernos y elaborados del mundo. Las grandes fachadas de vidrio con recubrimientos especiales son habituales aquí, y se procesan en instalaciones </w:t>
      </w:r>
      <w:proofErr w:type="spellStart"/>
      <w:r>
        <w:rPr>
          <w:rFonts w:ascii="Roboto" w:hAnsi="Roboto"/>
        </w:rPr>
        <w:t>LiSEC</w:t>
      </w:r>
      <w:proofErr w:type="spellEnd"/>
      <w:r>
        <w:rPr>
          <w:rFonts w:ascii="Roboto" w:hAnsi="Roboto"/>
        </w:rPr>
        <w:t xml:space="preserve">. Actualmente, se observa una tendencia especialmente marcada con los separadores TPA: Ya se han vendido con éxito tres instalaciones TPA de </w:t>
      </w:r>
      <w:proofErr w:type="spellStart"/>
      <w:r>
        <w:rPr>
          <w:rFonts w:ascii="Roboto" w:hAnsi="Roboto"/>
        </w:rPr>
        <w:t>LiSEC</w:t>
      </w:r>
      <w:proofErr w:type="spellEnd"/>
      <w:r>
        <w:rPr>
          <w:rFonts w:ascii="Roboto" w:hAnsi="Roboto"/>
        </w:rPr>
        <w:t xml:space="preserve"> en muy poco tiempo, y la demanda sigue aumentando.</w:t>
      </w:r>
    </w:p>
    <w:p w14:paraId="0766BEC2" w14:textId="77777777" w:rsidR="00E002E8" w:rsidRPr="00BC122D"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Retos y diversidad cultural</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El tamaño y la diversidad de la región también plantean retos: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Las tensiones geopolíticas pueden retrasar los proyectos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Las diferencias culturales exigen un alto grado de competencia intercultural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lastRenderedPageBreak/>
        <w:t xml:space="preserve">Los procesos de toma de decisiones suelen ser más lentos y menos previsibles que en Europa </w:t>
      </w:r>
    </w:p>
    <w:p w14:paraId="0C0F836C" w14:textId="3E35B0B3" w:rsidR="00E002E8" w:rsidRPr="00E002E8" w:rsidRDefault="00E002E8" w:rsidP="00E002E8">
      <w:pPr>
        <w:spacing w:line="360" w:lineRule="auto"/>
        <w:jc w:val="both"/>
        <w:rPr>
          <w:rFonts w:ascii="Roboto" w:hAnsi="Roboto"/>
        </w:rPr>
      </w:pPr>
      <w:r>
        <w:rPr>
          <w:rFonts w:ascii="Roboto" w:hAnsi="Roboto"/>
        </w:rPr>
        <w:t>Sin embargo, las oportunidades superan a los riesgos: La región crece rápidamente, es innovadora y está abierta a las nuevas tecnologías. “El HUB MEI es un componente central de nuestra estrategia global. Con una clara orientación al crecimiento, la adaptación regional y una estrecha cooperación, estamos en una posición ideal para aprovechar plenamente el potencial de esta región.”, Johann Stöger, director del HUB MEI</w:t>
      </w:r>
    </w:p>
    <w:p w14:paraId="1919FAFA" w14:textId="77777777" w:rsidR="00E002E8" w:rsidRPr="00BC122D" w:rsidRDefault="00E002E8" w:rsidP="00E002E8">
      <w:pPr>
        <w:spacing w:line="360" w:lineRule="auto"/>
        <w:jc w:val="both"/>
        <w:rPr>
          <w:rFonts w:ascii="Roboto" w:hAnsi="Roboto"/>
          <w:lang w:val="en-US"/>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Vista</w:t>
      </w:r>
    </w:p>
    <w:p w14:paraId="6633F701" w14:textId="723D93BE" w:rsidR="00E002E8" w:rsidRPr="00E002E8" w:rsidRDefault="00E002E8" w:rsidP="00E002E8">
      <w:pPr>
        <w:spacing w:line="360" w:lineRule="auto"/>
        <w:jc w:val="both"/>
        <w:rPr>
          <w:rFonts w:ascii="Roboto" w:hAnsi="Roboto"/>
        </w:rPr>
      </w:pPr>
      <w:r>
        <w:rPr>
          <w:rFonts w:ascii="Roboto" w:hAnsi="Roboto"/>
        </w:rPr>
        <w:t xml:space="preserve">Con el HUB MEI, </w:t>
      </w:r>
      <w:proofErr w:type="spellStart"/>
      <w:r>
        <w:rPr>
          <w:rFonts w:ascii="Roboto" w:hAnsi="Roboto"/>
        </w:rPr>
        <w:t>LiSEC</w:t>
      </w:r>
      <w:proofErr w:type="spellEnd"/>
      <w:r>
        <w:rPr>
          <w:rFonts w:ascii="Roboto" w:hAnsi="Roboto"/>
        </w:rPr>
        <w:t xml:space="preserve"> demuestra una vez más su capacidad para adaptarse a los mercados internacionales de forma flexible y orientada al futuro. La combinación de proximidad regional, experiencia tecnológica y previsión estratégica hace que el HUB sea especial. Los próximos años prometen no solo crecimiento económico, sino también una profundización de las relaciones con los clientes y un posicionamiento sostenible.</w:t>
      </w:r>
    </w:p>
    <w:p w14:paraId="20DA81EE" w14:textId="77777777" w:rsidR="00FE757F" w:rsidRPr="00BC122D"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Imágenes: </w:t>
      </w:r>
    </w:p>
    <w:p w14:paraId="3F856AC4" w14:textId="77777777" w:rsidR="007B386F" w:rsidRDefault="007B386F" w:rsidP="007B386F">
      <w:pPr>
        <w:spacing w:line="360" w:lineRule="auto"/>
        <w:rPr>
          <w:rFonts w:ascii="Roboto" w:hAnsi="Roboto"/>
          <w:b/>
          <w:lang w:val="de-AT"/>
        </w:rPr>
      </w:pPr>
      <w:r>
        <w:rPr>
          <w:rFonts w:ascii="Roboto" w:hAnsi="Roboto"/>
          <w:noProof/>
          <w:lang w:val="de-AT"/>
        </w:rPr>
        <w:drawing>
          <wp:inline distT="0" distB="0" distL="0" distR="0" wp14:anchorId="5A02735E" wp14:editId="51B1A91A">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7C5DBCB0" w14:textId="61B6A0AC" w:rsidR="007B386F" w:rsidRPr="00A55013" w:rsidRDefault="007B386F" w:rsidP="007B386F">
      <w:pPr>
        <w:spacing w:line="360" w:lineRule="auto"/>
        <w:rPr>
          <w:rFonts w:ascii="Roboto" w:hAnsi="Roboto"/>
          <w:bCs/>
          <w:sz w:val="20"/>
          <w:szCs w:val="20"/>
          <w:lang w:val="de-AT"/>
        </w:rPr>
      </w:pPr>
      <w:r w:rsidRPr="00A55013">
        <w:rPr>
          <w:rFonts w:ascii="Roboto" w:hAnsi="Roboto"/>
          <w:bCs/>
          <w:sz w:val="20"/>
          <w:szCs w:val="20"/>
          <w:lang w:val="de-AT"/>
        </w:rPr>
        <w:t xml:space="preserve">© </w:t>
      </w:r>
      <w:proofErr w:type="spellStart"/>
      <w:r w:rsidRPr="00A55013">
        <w:rPr>
          <w:rFonts w:ascii="Roboto" w:hAnsi="Roboto"/>
          <w:bCs/>
          <w:sz w:val="20"/>
          <w:szCs w:val="20"/>
          <w:lang w:val="de-AT"/>
        </w:rPr>
        <w:t>LiSEC</w:t>
      </w:r>
      <w:proofErr w:type="spellEnd"/>
      <w:r w:rsidRPr="00A55013">
        <w:rPr>
          <w:rFonts w:ascii="Roboto" w:hAnsi="Roboto"/>
          <w:bCs/>
          <w:sz w:val="20"/>
          <w:szCs w:val="20"/>
          <w:lang w:val="de-AT"/>
        </w:rPr>
        <w:t xml:space="preserve">; </w:t>
      </w:r>
      <w:r w:rsidRPr="007B386F">
        <w:rPr>
          <w:rFonts w:ascii="Roboto" w:hAnsi="Roboto"/>
          <w:bCs/>
          <w:sz w:val="20"/>
          <w:szCs w:val="20"/>
          <w:lang w:val="de-AT"/>
        </w:rPr>
        <w:t xml:space="preserve">De </w:t>
      </w:r>
      <w:proofErr w:type="spellStart"/>
      <w:r w:rsidRPr="007B386F">
        <w:rPr>
          <w:rFonts w:ascii="Roboto" w:hAnsi="Roboto"/>
          <w:bCs/>
          <w:sz w:val="20"/>
          <w:szCs w:val="20"/>
          <w:lang w:val="de-AT"/>
        </w:rPr>
        <w:t>izquierda</w:t>
      </w:r>
      <w:proofErr w:type="spellEnd"/>
      <w:r w:rsidRPr="007B386F">
        <w:rPr>
          <w:rFonts w:ascii="Roboto" w:hAnsi="Roboto"/>
          <w:bCs/>
          <w:sz w:val="20"/>
          <w:szCs w:val="20"/>
          <w:lang w:val="de-AT"/>
        </w:rPr>
        <w:t xml:space="preserve"> a </w:t>
      </w:r>
      <w:proofErr w:type="spellStart"/>
      <w:r w:rsidRPr="007B386F">
        <w:rPr>
          <w:rFonts w:ascii="Roboto" w:hAnsi="Roboto"/>
          <w:bCs/>
          <w:sz w:val="20"/>
          <w:szCs w:val="20"/>
          <w:lang w:val="de-AT"/>
        </w:rPr>
        <w:t>derecha</w:t>
      </w:r>
      <w:proofErr w:type="spellEnd"/>
      <w:r w:rsidRPr="007B386F">
        <w:rPr>
          <w:rFonts w:ascii="Roboto" w:hAnsi="Roboto"/>
          <w:bCs/>
          <w:sz w:val="20"/>
          <w:szCs w:val="20"/>
          <w:lang w:val="de-AT"/>
        </w:rPr>
        <w:t xml:space="preserve">: Dmello Rocksun Ronald, Hegde Rajesh, </w:t>
      </w:r>
      <w:proofErr w:type="spellStart"/>
      <w:r w:rsidRPr="007B386F">
        <w:rPr>
          <w:rFonts w:ascii="Roboto" w:hAnsi="Roboto"/>
          <w:bCs/>
          <w:sz w:val="20"/>
          <w:szCs w:val="20"/>
          <w:lang w:val="de-AT"/>
        </w:rPr>
        <w:t>Garudanadurga</w:t>
      </w:r>
      <w:proofErr w:type="spellEnd"/>
      <w:r w:rsidRPr="007B386F">
        <w:rPr>
          <w:rFonts w:ascii="Roboto" w:hAnsi="Roboto"/>
          <w:bCs/>
          <w:sz w:val="20"/>
          <w:szCs w:val="20"/>
          <w:lang w:val="de-AT"/>
        </w:rPr>
        <w:t xml:space="preserve"> Rajesh, Dias Ignatius, Stöger Johann, Mailum Loris, Hamdan Mohammed, Dula Alvin, Khan Allanoor, Tangela Chandrasekar</w:t>
      </w:r>
    </w:p>
    <w:p w14:paraId="331CA3D3" w14:textId="77777777" w:rsidR="007B386F" w:rsidRDefault="007B386F" w:rsidP="007B386F">
      <w:pPr>
        <w:spacing w:line="360" w:lineRule="auto"/>
        <w:rPr>
          <w:rFonts w:ascii="Roboto" w:hAnsi="Roboto"/>
          <w:lang w:val="de-AT"/>
        </w:rPr>
      </w:pPr>
      <w:r>
        <w:rPr>
          <w:rFonts w:ascii="Roboto" w:hAnsi="Roboto"/>
          <w:noProof/>
          <w:lang w:val="de-AT"/>
        </w:rPr>
        <w:drawing>
          <wp:inline distT="0" distB="0" distL="0" distR="0" wp14:anchorId="3F312C94" wp14:editId="1E08C671">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6CC5A11A" w14:textId="32EA7A88" w:rsidR="007B386F" w:rsidRPr="007B386F" w:rsidRDefault="007B386F" w:rsidP="007B386F">
      <w:pPr>
        <w:spacing w:line="360" w:lineRule="auto"/>
        <w:rPr>
          <w:rFonts w:ascii="Roboto" w:hAnsi="Roboto"/>
          <w:lang w:val="en-US"/>
        </w:rPr>
      </w:pPr>
      <w:r w:rsidRPr="007B386F">
        <w:rPr>
          <w:rFonts w:ascii="Roboto" w:hAnsi="Roboto"/>
          <w:bCs/>
          <w:sz w:val="20"/>
          <w:szCs w:val="20"/>
          <w:lang w:val="en-US"/>
        </w:rPr>
        <w:t xml:space="preserve">© </w:t>
      </w:r>
      <w:proofErr w:type="spellStart"/>
      <w:r w:rsidRPr="007B386F">
        <w:rPr>
          <w:rFonts w:ascii="Roboto" w:hAnsi="Roboto"/>
          <w:bCs/>
          <w:sz w:val="20"/>
          <w:szCs w:val="20"/>
          <w:lang w:val="en-US"/>
        </w:rPr>
        <w:t>LiSEC</w:t>
      </w:r>
      <w:proofErr w:type="spellEnd"/>
      <w:r w:rsidRPr="007B386F">
        <w:rPr>
          <w:rFonts w:ascii="Roboto" w:hAnsi="Roboto"/>
          <w:bCs/>
          <w:sz w:val="20"/>
          <w:szCs w:val="20"/>
          <w:lang w:val="en-US"/>
        </w:rPr>
        <w:t xml:space="preserve">; </w:t>
      </w:r>
      <w:r w:rsidRPr="007B386F">
        <w:rPr>
          <w:rFonts w:ascii="Roboto" w:hAnsi="Roboto"/>
          <w:sz w:val="20"/>
          <w:szCs w:val="20"/>
          <w:lang w:val="en-US"/>
        </w:rPr>
        <w:t xml:space="preserve">De </w:t>
      </w:r>
      <w:proofErr w:type="spellStart"/>
      <w:r w:rsidRPr="007B386F">
        <w:rPr>
          <w:rFonts w:ascii="Roboto" w:hAnsi="Roboto"/>
          <w:sz w:val="20"/>
          <w:szCs w:val="20"/>
          <w:lang w:val="en-US"/>
        </w:rPr>
        <w:t>izquierda</w:t>
      </w:r>
      <w:proofErr w:type="spellEnd"/>
      <w:r w:rsidRPr="007B386F">
        <w:rPr>
          <w:rFonts w:ascii="Roboto" w:hAnsi="Roboto"/>
          <w:sz w:val="20"/>
          <w:szCs w:val="20"/>
          <w:lang w:val="en-US"/>
        </w:rPr>
        <w:t xml:space="preserve"> a </w:t>
      </w:r>
      <w:proofErr w:type="spellStart"/>
      <w:r w:rsidRPr="007B386F">
        <w:rPr>
          <w:rFonts w:ascii="Roboto" w:hAnsi="Roboto"/>
          <w:sz w:val="20"/>
          <w:szCs w:val="20"/>
          <w:lang w:val="en-US"/>
        </w:rPr>
        <w:t>derecha</w:t>
      </w:r>
      <w:proofErr w:type="spellEnd"/>
      <w:r w:rsidRPr="007B386F">
        <w:rPr>
          <w:rFonts w:ascii="Roboto" w:hAnsi="Roboto"/>
          <w:sz w:val="20"/>
          <w:szCs w:val="20"/>
          <w:lang w:val="en-US"/>
        </w:rPr>
        <w:t xml:space="preserve">: Dula Alvin, </w:t>
      </w:r>
      <w:proofErr w:type="spellStart"/>
      <w:r w:rsidRPr="007B386F">
        <w:rPr>
          <w:rFonts w:ascii="Roboto" w:hAnsi="Roboto"/>
          <w:sz w:val="20"/>
          <w:szCs w:val="20"/>
          <w:lang w:val="en-US"/>
        </w:rPr>
        <w:t>Garudanadurga</w:t>
      </w:r>
      <w:proofErr w:type="spellEnd"/>
      <w:r w:rsidRPr="007B386F">
        <w:rPr>
          <w:rFonts w:ascii="Roboto" w:hAnsi="Roboto"/>
          <w:sz w:val="20"/>
          <w:szCs w:val="20"/>
          <w:lang w:val="en-US"/>
        </w:rPr>
        <w:t xml:space="preserve"> Rajesh, Mailum Loris, Tangela Chandrasekar, Khan Allanoor, Dmello </w:t>
      </w:r>
      <w:proofErr w:type="spellStart"/>
      <w:r w:rsidRPr="007B386F">
        <w:rPr>
          <w:rFonts w:ascii="Roboto" w:hAnsi="Roboto"/>
          <w:sz w:val="20"/>
          <w:szCs w:val="20"/>
          <w:lang w:val="en-US"/>
        </w:rPr>
        <w:t>Rocksun</w:t>
      </w:r>
      <w:proofErr w:type="spellEnd"/>
      <w:r w:rsidRPr="007B386F">
        <w:rPr>
          <w:rFonts w:ascii="Roboto" w:hAnsi="Roboto"/>
          <w:sz w:val="20"/>
          <w:szCs w:val="20"/>
          <w:lang w:val="en-US"/>
        </w:rPr>
        <w:t xml:space="preserve"> Ronald</w:t>
      </w:r>
    </w:p>
    <w:p w14:paraId="74C25F46" w14:textId="77777777" w:rsidR="007B386F" w:rsidRPr="007B386F" w:rsidRDefault="007B386F" w:rsidP="007B386F">
      <w:pPr>
        <w:spacing w:line="360" w:lineRule="auto"/>
        <w:rPr>
          <w:rFonts w:ascii="Roboto" w:hAnsi="Roboto"/>
          <w:lang w:val="en-US"/>
        </w:rPr>
      </w:pPr>
    </w:p>
    <w:p w14:paraId="5FCDF1F2" w14:textId="77777777" w:rsidR="007B386F" w:rsidRDefault="007B386F" w:rsidP="007B386F">
      <w:pPr>
        <w:spacing w:line="360" w:lineRule="auto"/>
        <w:rPr>
          <w:rFonts w:ascii="Roboto" w:hAnsi="Roboto"/>
          <w:lang w:val="de-AT"/>
        </w:rPr>
      </w:pPr>
      <w:r>
        <w:rPr>
          <w:rFonts w:ascii="Roboto" w:hAnsi="Roboto"/>
          <w:noProof/>
          <w:lang w:val="de-AT"/>
        </w:rPr>
        <w:lastRenderedPageBreak/>
        <w:drawing>
          <wp:inline distT="0" distB="0" distL="0" distR="0" wp14:anchorId="66BA7D1A" wp14:editId="6A6ACB5E">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7AC7B1F1" w14:textId="1233DB25" w:rsidR="007B386F" w:rsidRPr="007B386F" w:rsidRDefault="007B386F" w:rsidP="007B386F">
      <w:pPr>
        <w:spacing w:line="360" w:lineRule="auto"/>
        <w:rPr>
          <w:rFonts w:ascii="Roboto" w:hAnsi="Roboto"/>
          <w:lang w:val="en-US"/>
        </w:rPr>
      </w:pPr>
      <w:r w:rsidRPr="007B386F">
        <w:rPr>
          <w:rFonts w:ascii="Roboto" w:hAnsi="Roboto"/>
          <w:bCs/>
          <w:sz w:val="20"/>
          <w:szCs w:val="20"/>
          <w:lang w:val="en-US"/>
        </w:rPr>
        <w:t xml:space="preserve">© </w:t>
      </w:r>
      <w:proofErr w:type="spellStart"/>
      <w:r w:rsidRPr="007B386F">
        <w:rPr>
          <w:rFonts w:ascii="Roboto" w:hAnsi="Roboto"/>
          <w:bCs/>
          <w:sz w:val="20"/>
          <w:szCs w:val="20"/>
          <w:lang w:val="en-US"/>
        </w:rPr>
        <w:t>LiSEC</w:t>
      </w:r>
      <w:proofErr w:type="spellEnd"/>
      <w:r w:rsidRPr="007B386F">
        <w:rPr>
          <w:rFonts w:ascii="Roboto" w:hAnsi="Roboto"/>
          <w:bCs/>
          <w:sz w:val="20"/>
          <w:szCs w:val="20"/>
          <w:lang w:val="en-US"/>
        </w:rPr>
        <w:t xml:space="preserve">; Mailum Loris </w:t>
      </w:r>
      <w:proofErr w:type="spellStart"/>
      <w:r w:rsidRPr="007B386F">
        <w:rPr>
          <w:rFonts w:ascii="Roboto" w:hAnsi="Roboto"/>
          <w:bCs/>
          <w:sz w:val="20"/>
          <w:szCs w:val="20"/>
          <w:lang w:val="en-US"/>
        </w:rPr>
        <w:t>en</w:t>
      </w:r>
      <w:proofErr w:type="spellEnd"/>
      <w:r w:rsidRPr="007B386F">
        <w:rPr>
          <w:rFonts w:ascii="Roboto" w:hAnsi="Roboto"/>
          <w:bCs/>
          <w:sz w:val="20"/>
          <w:szCs w:val="20"/>
          <w:lang w:val="en-US"/>
        </w:rPr>
        <w:t xml:space="preserve"> la </w:t>
      </w:r>
      <w:proofErr w:type="spellStart"/>
      <w:r w:rsidRPr="007B386F">
        <w:rPr>
          <w:rFonts w:ascii="Roboto" w:hAnsi="Roboto"/>
          <w:bCs/>
          <w:sz w:val="20"/>
          <w:szCs w:val="20"/>
          <w:lang w:val="en-US"/>
        </w:rPr>
        <w:t>recepción</w:t>
      </w:r>
      <w:proofErr w:type="spellEnd"/>
    </w:p>
    <w:p w14:paraId="5A7CAE49" w14:textId="77777777" w:rsidR="007E1351" w:rsidRPr="00BC122D"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Acerca de </w:t>
      </w:r>
      <w:proofErr w:type="spellStart"/>
      <w:r>
        <w:rPr>
          <w:rFonts w:ascii="Roboto" w:hAnsi="Roboto"/>
          <w:b/>
          <w:sz w:val="20"/>
        </w:rPr>
        <w:t>LiSEC</w:t>
      </w:r>
      <w:proofErr w:type="spellEnd"/>
    </w:p>
    <w:p w14:paraId="0A1A2A79" w14:textId="77777777" w:rsidR="00037304" w:rsidRDefault="00037304" w:rsidP="00037304">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w:t>
      </w:r>
      <w:proofErr w:type="spellStart"/>
      <w:r>
        <w:rPr>
          <w:rFonts w:ascii="Roboto" w:hAnsi="Roboto"/>
          <w:sz w:val="20"/>
        </w:rPr>
        <w:t>LiSEC</w:t>
      </w:r>
      <w:proofErr w:type="spellEnd"/>
      <w:r>
        <w:rPr>
          <w:rFonts w:ascii="Roboto" w:hAnsi="Roboto"/>
          <w:sz w:val="20"/>
        </w:rPr>
        <w:t xml:space="preserve">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28DC260C" w14:textId="77777777" w:rsidR="00037304" w:rsidRPr="00BC122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C7C03"/>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17BD"/>
    <w:rsid w:val="00535798"/>
    <w:rsid w:val="00535C28"/>
    <w:rsid w:val="00537E19"/>
    <w:rsid w:val="00541C17"/>
    <w:rsid w:val="005537CD"/>
    <w:rsid w:val="00570F9D"/>
    <w:rsid w:val="00596B36"/>
    <w:rsid w:val="005A60CB"/>
    <w:rsid w:val="005B00D0"/>
    <w:rsid w:val="005B1E75"/>
    <w:rsid w:val="005E3B57"/>
    <w:rsid w:val="005F1273"/>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386F"/>
    <w:rsid w:val="007B79C4"/>
    <w:rsid w:val="007D3B2D"/>
    <w:rsid w:val="007E1351"/>
    <w:rsid w:val="007E5D67"/>
    <w:rsid w:val="007E7940"/>
    <w:rsid w:val="007F2A1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122D"/>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921</Words>
  <Characters>5353</Characters>
  <Application>Microsoft Office Word</Application>
  <DocSecurity>0</DocSecurity>
  <Lines>107</Lines>
  <Paragraphs>35</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22</cp:revision>
  <dcterms:created xsi:type="dcterms:W3CDTF">2025-06-25T07:44:00Z</dcterms:created>
  <dcterms:modified xsi:type="dcterms:W3CDTF">2026-02-17T12:21:00Z</dcterms:modified>
</cp:coreProperties>
</file>